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57" w:rsidRDefault="00455158" w:rsidP="00455158">
      <w:pPr>
        <w:jc w:val="center"/>
        <w:rPr>
          <w:rFonts w:ascii="Times New Roman" w:hAnsi="Times New Roman" w:cs="Times New Roman"/>
          <w:b/>
          <w:bCs/>
          <w:sz w:val="24"/>
          <w:szCs w:val="24"/>
        </w:rPr>
      </w:pPr>
      <w:bookmarkStart w:id="0" w:name="_GoBack"/>
      <w:bookmarkEnd w:id="0"/>
      <w:r w:rsidRPr="00763C21">
        <w:rPr>
          <w:rFonts w:ascii="Times New Roman" w:hAnsi="Times New Roman" w:cs="Times New Roman"/>
          <w:b/>
          <w:bCs/>
          <w:sz w:val="24"/>
          <w:szCs w:val="24"/>
        </w:rPr>
        <w:t>SIKÇA SORULAN SORULAR ve CEVAPLARI</w:t>
      </w:r>
    </w:p>
    <w:p w:rsidR="00E41407" w:rsidRPr="00763C21" w:rsidRDefault="00E41407" w:rsidP="00455158">
      <w:pPr>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790"/>
        <w:gridCol w:w="3930"/>
        <w:gridCol w:w="4342"/>
      </w:tblGrid>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SIRA</w:t>
            </w:r>
          </w:p>
        </w:tc>
        <w:tc>
          <w:tcPr>
            <w:tcW w:w="393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SORU</w:t>
            </w:r>
          </w:p>
        </w:tc>
        <w:tc>
          <w:tcPr>
            <w:tcW w:w="4342"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CEVAP</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1</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Yeni kurulacak olan fonlar için bu program kapsamında herhangi bir avantaj var mıdır?</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Ajans, mevcut fonlara ve bölge dışında kurulacak fonlara, toplam taahhüt büyüklüğünün azami %25’i oranında katılım sağlayacaktır.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Ajans, </w:t>
            </w:r>
            <w:r w:rsidRPr="00314B9F">
              <w:rPr>
                <w:rFonts w:ascii="Times New Roman" w:hAnsi="Times New Roman" w:cs="Times New Roman"/>
                <w:b/>
                <w:sz w:val="24"/>
                <w:szCs w:val="24"/>
              </w:rPr>
              <w:t>bölgede kurulacak</w:t>
            </w:r>
            <w:r w:rsidRPr="00314B9F">
              <w:rPr>
                <w:rFonts w:ascii="Times New Roman" w:hAnsi="Times New Roman" w:cs="Times New Roman"/>
                <w:sz w:val="24"/>
                <w:szCs w:val="24"/>
              </w:rPr>
              <w:t xml:space="preserve"> fonlara azami %50 oranında katılım sağlayacaktır.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Bu program kapsamında, yalnızca Ajansın faaliyet gösterdiği bölgede yeni kurulacak olan fonlar için bir avantaj öngörülmüştür.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2</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Fonumuza Ajanstan alacağımız destek dışında kamu kaynaklı başka fonlardan da faydalanabilir miyiz?</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Kamunun fon desteğiyle kurulan veya kamunun yatırım yaparak ortak olduğu fonlara Ajansın da yatırım yapması halinde, toplam kamu yatırım tutarının, fon büyüklüğü içerisindeki payının %30’u geçmemesi; bu oranın aşılması     durumda, fonun içindeki kamu oranının belirtilen oranda olması için fonun ilave yatırımlar alması gerekmektedir. Bu sınırı aşmamak üzere kamu kaynaklı başka fonlardan da yararlanılabilir.</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3</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Bireysel olarak kaynak taahhüdünde bulunulabilir mi?</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Nitelikli yatırımcılar, girişim sermayesi yatırım fonlarına kaynak taahhüdünde bulunmaya davet edilmektedir. Nitelikli yatırımcılar; sermaye piyasası araçlarının ihraç tarihi itibariyle en az 1 milyon TL tutarında Türk ve/veya yabancı para ve sermaye piyasası aracına sahip olan gerçek veya tüzel kişileri ifade etmektedir. Bu tanıma uyan bireysel yatırımcılar da kaynak taahhüdünde bulunabilecektir.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4</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Program çerçevesinde yurtdışında kurulmuş fonlar başvuru yapabilir mi?</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İlgili ülke mevzuatı çerçevesinde kurulan fonlar da bu program kapsamında başvuru yapabilecektir.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5</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Destek almaya hak kazanan fonların yatırım yapacağı </w:t>
            </w:r>
            <w:proofErr w:type="spellStart"/>
            <w:r w:rsidRPr="00314B9F">
              <w:rPr>
                <w:rFonts w:ascii="Times New Roman" w:hAnsi="Times New Roman" w:cs="Times New Roman"/>
                <w:sz w:val="24"/>
                <w:szCs w:val="24"/>
              </w:rPr>
              <w:t>startuplar</w:t>
            </w:r>
            <w:proofErr w:type="spellEnd"/>
            <w:r w:rsidRPr="00314B9F">
              <w:rPr>
                <w:rFonts w:ascii="Times New Roman" w:hAnsi="Times New Roman" w:cs="Times New Roman"/>
                <w:sz w:val="24"/>
                <w:szCs w:val="24"/>
              </w:rPr>
              <w:t xml:space="preserve"> özelinde herhangi bir şart, kısıtlama ya da öncelik var mıdır?</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 büyüklüğünün yüzde yirmisinden fazlasının (%20) tek bir girişim şirketine veya grup şirketine yatırılmaması gereklidir.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Fonlar, sermaye ihtiyacı olan erken aşama teknoloji tabanlı veya yenilikçi iş modeli olan girişimler ile ürün ve hizmetleri pazarda müşterileri tarafından talep gören ve gelirleri katlanarak büyümeye başlamış girişimlere yatırım yapmalıdır.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Erken aşama teknoloji tabanlı girişimlerde Ar-Ge ve yenilik sonuçlarının </w:t>
            </w:r>
            <w:r w:rsidRPr="00314B9F">
              <w:rPr>
                <w:rFonts w:ascii="Times New Roman" w:hAnsi="Times New Roman" w:cs="Times New Roman"/>
                <w:sz w:val="24"/>
                <w:szCs w:val="24"/>
              </w:rPr>
              <w:lastRenderedPageBreak/>
              <w:t>ticarileştirilmesine yönelik yatırım yapmalıdır.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Büyüme aşamasındaki girişimlerde, yatırımları ve istihdamı artırmaya, yurt dışına açılmaya ve ihracat yapmaya yönelik yatırım yapmalıdır.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Fonların, en az Ajansın taahhüt tutarı kadar TR41 Bölgesindeki girişimlere yatırım yapması gerekmektedir.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Ayrıca bu program kapsamında kurulacak fonlar tarafından aşağıda yer alan faaliyetleri yapan girişimlere yatırım yapamaz.</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a. Yürürlükteki mevzuata aykırı şekilde bir ürünün üretimi, ticari veya hizmetin verilmesi ile ilgili faaliyetler,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 Hukuka, kamu düzenine, genel ahlaka aykırı alanlar,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c. Tütün, alkol, kumarhane, bahis oyunları,</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d. Münhasıran gayrimenkul yatırımları,</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e. Siyasi veya etnik içerikli faaliyetler.</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6</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Girişim şirketleri/</w:t>
            </w:r>
            <w:proofErr w:type="spellStart"/>
            <w:r w:rsidRPr="00314B9F">
              <w:rPr>
                <w:rFonts w:ascii="Times New Roman" w:hAnsi="Times New Roman" w:cs="Times New Roman"/>
                <w:sz w:val="24"/>
                <w:szCs w:val="24"/>
              </w:rPr>
              <w:t>startuplar</w:t>
            </w:r>
            <w:proofErr w:type="spellEnd"/>
            <w:r w:rsidRPr="00314B9F">
              <w:rPr>
                <w:rFonts w:ascii="Times New Roman" w:hAnsi="Times New Roman" w:cs="Times New Roman"/>
                <w:sz w:val="24"/>
                <w:szCs w:val="24"/>
              </w:rPr>
              <w:t xml:space="preserve"> için azami bir büyüklük öngörüyor musunuz?</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Fonların teknoloji tabanlı, yenilikçi ve yaratıcı iş modeline sahip hızlı büyüme, ihracat yapma, yüksek istihdam oluşturma potansiyeli taşıyan girişim şirketleri ve KOBİ’lere yatırım yapması beklenmektedir. Bunun dışında fonların yatırım yapacağı girişimler için herhangi bir büyüklük şartı getirilmemiştir. Ek olarak, hangi aşamadaki girişimlere yatırım yapılacağı kararını, fonların sahip olduğu yatırım stratejileri şekillendirecektir.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7</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Oda ve borsa gibi kurumların oluşturabileceği fon kaynağının yerelde kalması noktasında belirli bir alanda veya bölgede harcanması sağlanabilir mi?</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Kurulmuş veya kurulacak fonların, en az Ajansın taahhüt tutarı kadar TR41 Bölgesindeki girişimlere yatırım yapması gerekmektedir. Bunun dışında girişim sermayesi yatırım fonlarının sahip olduğu/olacağı toplam fon kaynağının tamamının belirli bir alanda ve Bölgedeki girişimler için kullanılmasına yönelik bir sınırlama getirilmemiştir.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8</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Odalar gibi ara yüz kurumlar ile fon yöneticileri arasında eşleşme sağlanabilir mi? </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BEBKA mali destek programıyla birlikte ilan ettiği kaynak çağrısıyla daha fazla sayıda girişime finansman sağlamak ve girişimlere yapılacak yatırım tutarının daha yüksek miktarlarda gerçekleştirilebilmesi amacıyla girişim sermayesi yatırım fonlarına bulunulacak taahhüt tutarının artırılması için nitelikli yatırımcıları girişim sermayesi yatırım fonlarına </w:t>
            </w:r>
            <w:r w:rsidRPr="00314B9F">
              <w:rPr>
                <w:rFonts w:ascii="Times New Roman" w:hAnsi="Times New Roman" w:cs="Times New Roman"/>
                <w:sz w:val="24"/>
                <w:szCs w:val="24"/>
              </w:rPr>
              <w:lastRenderedPageBreak/>
              <w:t xml:space="preserve">taahhütte bulunmaya davet etmektedir. Bu kapsamda Ajansın yatırım yapacağı girişim sermayesi yatırım fonlarına, yatırım taahhüdünde bulunmaya karar veren nitelikli yatırımcı kriterlerine uyan kamu kurumu niteliğine meslek kuruluşları da yatırım taahhüdünde bulunabilecektir.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9</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Başvuru yapan </w:t>
            </w:r>
            <w:proofErr w:type="spellStart"/>
            <w:r w:rsidRPr="00314B9F">
              <w:rPr>
                <w:rFonts w:ascii="Times New Roman" w:hAnsi="Times New Roman" w:cs="Times New Roman"/>
                <w:sz w:val="24"/>
                <w:szCs w:val="24"/>
              </w:rPr>
              <w:t>GSYF’ler</w:t>
            </w:r>
            <w:proofErr w:type="spellEnd"/>
            <w:r w:rsidRPr="00314B9F">
              <w:rPr>
                <w:rFonts w:ascii="Times New Roman" w:hAnsi="Times New Roman" w:cs="Times New Roman"/>
                <w:sz w:val="24"/>
                <w:szCs w:val="24"/>
              </w:rPr>
              <w:t xml:space="preserve"> için değerlendirme aşamasında hangi kriterlere bakılacaktır?</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Başvurular, şu kriterlere göre değerlendirilecektir;</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•Fonun odaklandığı alan,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•Fonun yatırım stratejisi,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•Fonun kurumsal yönetimi, hukuki yapısı ve bağımsızlığı,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•Fonun toplam taahhüt büyüklüğü,</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 organizasyon yapısı ve personel bilgileri,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•Fonun yönetim masrafları ve kar dağıtımına ilişkin öngörüler,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•Fona ait kapsamlı iş planı,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•Fon yöneticisinin girişim sermayesi alanındaki tecrübesi ve yetkinliği,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 yöneticisinin daha önce gerçekleştirdiği yatırımlardan elde ettiği getiri ve bu getirinin yatırıma oranı,</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 yöneticisinin getiri hedefi, geliştirmeyi planladığı yetenekleri, ekosistemde kaynak ve tecrübe birikimi hedefleri, çıktıları, başarı ölçütleri,</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•Raporlama, kontrol, denetleme ve risk yönetim süreçleri,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•Ajans dışı diğer fon taahhütlerinin tutarı, ajans taahhüdüne oranı, </w:t>
            </w:r>
          </w:p>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•Başvuru rehberinde yer alan diğer hususlar.</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10</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Ajans tarafından </w:t>
            </w:r>
            <w:proofErr w:type="spellStart"/>
            <w:r w:rsidRPr="00314B9F">
              <w:rPr>
                <w:rFonts w:ascii="Times New Roman" w:hAnsi="Times New Roman" w:cs="Times New Roman"/>
                <w:sz w:val="24"/>
                <w:szCs w:val="24"/>
              </w:rPr>
              <w:t>GSYF’lere</w:t>
            </w:r>
            <w:proofErr w:type="spellEnd"/>
            <w:r w:rsidRPr="00314B9F">
              <w:rPr>
                <w:rFonts w:ascii="Times New Roman" w:hAnsi="Times New Roman" w:cs="Times New Roman"/>
                <w:sz w:val="24"/>
                <w:szCs w:val="24"/>
              </w:rPr>
              <w:t xml:space="preserve"> taahhüt edilen yatırım miktarları, fonun kuruluş aşamasında mı, başarılı </w:t>
            </w:r>
            <w:proofErr w:type="spellStart"/>
            <w:r w:rsidRPr="00314B9F">
              <w:rPr>
                <w:rFonts w:ascii="Times New Roman" w:hAnsi="Times New Roman" w:cs="Times New Roman"/>
                <w:sz w:val="24"/>
                <w:szCs w:val="24"/>
              </w:rPr>
              <w:t>startuplar</w:t>
            </w:r>
            <w:proofErr w:type="spellEnd"/>
            <w:r w:rsidRPr="00314B9F">
              <w:rPr>
                <w:rFonts w:ascii="Times New Roman" w:hAnsi="Times New Roman" w:cs="Times New Roman"/>
                <w:sz w:val="24"/>
                <w:szCs w:val="24"/>
              </w:rPr>
              <w:t xml:space="preserve"> fonlanacağı zaman mı ödenecektir?</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Ajans tarafından yatırım yapılmasına karar verilen fonlarla ayrı ayrı katılım sözleşmesi imzalanacaktır. Sözleşme sürecinde Ajans ve fonlar, para yatırma planlarını da içerecek şekilde müzakere edeceklerdir. Girişimlere yatırım kararı alındıktan sonra mı yoksa belirli periyotlarda fona kaynak aktarımı yapılacağına bu aşamada karar verilecektir. Ancak, fon kuruluş aşamasında kaynak aktarımı yapılmayacaktır.</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11</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Fondan yararlanan girişimcilerin fonu geri ödeme şartları nelerdir?</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Program süresi, yatırım dönemi azami 5 yıl, çıkış dönemi azami 5 yıl olmak üzere toplam 10 yıldır. Çıkış döneminde, fon tarafından yatırım döneminde yatırım yapılmış olan girişimlere devam yatırımı </w:t>
            </w:r>
            <w:r w:rsidRPr="00314B9F">
              <w:rPr>
                <w:rFonts w:ascii="Times New Roman" w:hAnsi="Times New Roman" w:cs="Times New Roman"/>
                <w:sz w:val="24"/>
                <w:szCs w:val="24"/>
              </w:rPr>
              <w:lastRenderedPageBreak/>
              <w:t>yapılabilmektedir. Girişimlerin aldıkları yatırımları geri ödeme gibi bir şartları bulunmamaktadır.</w:t>
            </w:r>
          </w:p>
          <w:p w:rsidR="00971E5F" w:rsidRPr="00314B9F" w:rsidRDefault="00971E5F" w:rsidP="00DC21EB">
            <w:pPr>
              <w:jc w:val="both"/>
              <w:rPr>
                <w:rFonts w:ascii="Times New Roman" w:hAnsi="Times New Roman" w:cs="Times New Roman"/>
                <w:sz w:val="24"/>
                <w:szCs w:val="24"/>
              </w:rPr>
            </w:pP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lastRenderedPageBreak/>
              <w:t>12</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Teknoparklarda faaliyet gösteren KOBİ’lere de fon desteği sağlanabilir mi?</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 xml:space="preserve">Başvuru rehberinde yer alan diğer şartları taşımaları halinde, teknoparklarda yer alan girişimlere ve KOBİ’lere de fon desteği sağlanabilecektir. </w:t>
            </w:r>
          </w:p>
        </w:tc>
      </w:tr>
      <w:tr w:rsidR="00971E5F" w:rsidRPr="00314B9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1</w:t>
            </w:r>
            <w:r w:rsidR="00620289">
              <w:rPr>
                <w:rFonts w:ascii="Times New Roman" w:hAnsi="Times New Roman" w:cs="Times New Roman"/>
                <w:b/>
                <w:sz w:val="24"/>
                <w:szCs w:val="24"/>
              </w:rPr>
              <w:t>3</w:t>
            </w:r>
          </w:p>
        </w:tc>
        <w:tc>
          <w:tcPr>
            <w:tcW w:w="3930"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1 milyon lira fon taahhüdü şartı bireysel yatırımcılar için de geçerli olacak mı?</w:t>
            </w:r>
          </w:p>
        </w:tc>
        <w:tc>
          <w:tcPr>
            <w:tcW w:w="4342" w:type="dxa"/>
          </w:tcPr>
          <w:p w:rsidR="00971E5F" w:rsidRPr="00314B9F"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Evet geçerlidir.</w:t>
            </w:r>
          </w:p>
        </w:tc>
      </w:tr>
      <w:tr w:rsidR="00971E5F" w:rsidTr="00DC21EB">
        <w:tc>
          <w:tcPr>
            <w:tcW w:w="790" w:type="dxa"/>
          </w:tcPr>
          <w:p w:rsidR="00971E5F" w:rsidRPr="00314B9F" w:rsidRDefault="00971E5F" w:rsidP="00DC21EB">
            <w:pPr>
              <w:jc w:val="center"/>
              <w:rPr>
                <w:rFonts w:ascii="Times New Roman" w:hAnsi="Times New Roman" w:cs="Times New Roman"/>
                <w:b/>
                <w:sz w:val="24"/>
                <w:szCs w:val="24"/>
              </w:rPr>
            </w:pPr>
            <w:r w:rsidRPr="00314B9F">
              <w:rPr>
                <w:rFonts w:ascii="Times New Roman" w:hAnsi="Times New Roman" w:cs="Times New Roman"/>
                <w:b/>
                <w:sz w:val="24"/>
                <w:szCs w:val="24"/>
              </w:rPr>
              <w:t>1</w:t>
            </w:r>
            <w:r w:rsidR="00620289">
              <w:rPr>
                <w:rFonts w:ascii="Times New Roman" w:hAnsi="Times New Roman" w:cs="Times New Roman"/>
                <w:b/>
                <w:sz w:val="24"/>
                <w:szCs w:val="24"/>
              </w:rPr>
              <w:t>4</w:t>
            </w:r>
          </w:p>
        </w:tc>
        <w:tc>
          <w:tcPr>
            <w:tcW w:w="3930" w:type="dxa"/>
          </w:tcPr>
          <w:p w:rsidR="00971E5F" w:rsidRPr="00314B9F" w:rsidRDefault="00971E5F" w:rsidP="00DC21EB">
            <w:pPr>
              <w:rPr>
                <w:rFonts w:ascii="Times New Roman" w:eastAsia="Times New Roman" w:hAnsi="Times New Roman" w:cs="Times New Roman"/>
                <w:sz w:val="24"/>
                <w:szCs w:val="24"/>
                <w:bdr w:val="none" w:sz="0" w:space="0" w:color="auto" w:frame="1"/>
                <w:lang w:eastAsia="tr-TR"/>
              </w:rPr>
            </w:pPr>
            <w:r w:rsidRPr="00314B9F">
              <w:rPr>
                <w:rFonts w:ascii="Times New Roman" w:eastAsia="Times New Roman" w:hAnsi="Times New Roman" w:cs="Times New Roman"/>
                <w:sz w:val="24"/>
                <w:szCs w:val="24"/>
                <w:bdr w:val="none" w:sz="0" w:space="0" w:color="auto" w:frame="1"/>
                <w:lang w:eastAsia="tr-TR"/>
              </w:rPr>
              <w:t>Yönetim ücreti için bir üst sınır var mı?</w:t>
            </w:r>
          </w:p>
        </w:tc>
        <w:tc>
          <w:tcPr>
            <w:tcW w:w="4342" w:type="dxa"/>
          </w:tcPr>
          <w:p w:rsidR="00971E5F" w:rsidRPr="000D0E67" w:rsidRDefault="00971E5F" w:rsidP="00DC21EB">
            <w:pPr>
              <w:jc w:val="both"/>
              <w:rPr>
                <w:rFonts w:ascii="Times New Roman" w:hAnsi="Times New Roman" w:cs="Times New Roman"/>
                <w:sz w:val="24"/>
                <w:szCs w:val="24"/>
              </w:rPr>
            </w:pPr>
            <w:r w:rsidRPr="00314B9F">
              <w:rPr>
                <w:rFonts w:ascii="Times New Roman" w:hAnsi="Times New Roman" w:cs="Times New Roman"/>
                <w:sz w:val="24"/>
                <w:szCs w:val="24"/>
              </w:rPr>
              <w:t>Başvuru sahipleri, fondan karşılanacak olan yönetim ücreti dâhil tüm giderlerin toplam fon değerine göre üst sınırına, başvuru dosyasında Ajansa sunacakları Taslak Yatırımcı Sözleşmesi’nde yer vereceklerdir. Bu teklifler, Ajans tarafından başvuruların değerlendirilmesi sürecinde dikkate alınacaktır.</w:t>
            </w:r>
            <w:r>
              <w:rPr>
                <w:rFonts w:ascii="Times New Roman" w:hAnsi="Times New Roman" w:cs="Times New Roman"/>
                <w:sz w:val="24"/>
                <w:szCs w:val="24"/>
              </w:rPr>
              <w:t xml:space="preserve"> </w:t>
            </w:r>
          </w:p>
        </w:tc>
      </w:tr>
    </w:tbl>
    <w:p w:rsidR="00455158" w:rsidRPr="005A136A" w:rsidRDefault="00455158" w:rsidP="00455158">
      <w:pPr>
        <w:jc w:val="both"/>
        <w:rPr>
          <w:rFonts w:ascii="Times New Roman" w:hAnsi="Times New Roman" w:cs="Times New Roman"/>
          <w:b/>
          <w:bCs/>
          <w:sz w:val="24"/>
          <w:szCs w:val="24"/>
        </w:rPr>
      </w:pPr>
    </w:p>
    <w:sectPr w:rsidR="00455158" w:rsidRPr="005A136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4D28" w16cex:dateUtc="2020-11-24T06:13:00Z"/>
  <w16cex:commentExtensible w16cex:durableId="23674E41" w16cex:dateUtc="2020-11-24T06:17:00Z"/>
  <w16cex:commentExtensible w16cex:durableId="23674F6E" w16cex:dateUtc="2020-11-24T06: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FAD"/>
    <w:multiLevelType w:val="hybridMultilevel"/>
    <w:tmpl w:val="B93EF6EC"/>
    <w:lvl w:ilvl="0" w:tplc="10E6CC1A">
      <w:start w:val="1"/>
      <w:numFmt w:val="decimal"/>
      <w:lvlText w:val="%1)"/>
      <w:lvlJc w:val="left"/>
      <w:pPr>
        <w:ind w:left="720" w:hanging="360"/>
      </w:pPr>
      <w:rPr>
        <w:rFonts w:ascii="Arial" w:hAnsi="Arial" w:cs="Arial" w:hint="default"/>
        <w:b/>
        <w:color w:val="000000"/>
        <w:sz w:val="2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69D57BE"/>
    <w:multiLevelType w:val="hybridMultilevel"/>
    <w:tmpl w:val="B03A402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97649C"/>
    <w:multiLevelType w:val="hybridMultilevel"/>
    <w:tmpl w:val="653AE6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58"/>
    <w:rsid w:val="00002575"/>
    <w:rsid w:val="000213BB"/>
    <w:rsid w:val="00027957"/>
    <w:rsid w:val="000422F4"/>
    <w:rsid w:val="00050A1B"/>
    <w:rsid w:val="00051CD4"/>
    <w:rsid w:val="000609CA"/>
    <w:rsid w:val="00064187"/>
    <w:rsid w:val="000B4022"/>
    <w:rsid w:val="000D6FFB"/>
    <w:rsid w:val="000E3BBC"/>
    <w:rsid w:val="000F67C4"/>
    <w:rsid w:val="0010104E"/>
    <w:rsid w:val="00120329"/>
    <w:rsid w:val="00152F74"/>
    <w:rsid w:val="00172CE1"/>
    <w:rsid w:val="0018560F"/>
    <w:rsid w:val="00185E28"/>
    <w:rsid w:val="00186A06"/>
    <w:rsid w:val="00192979"/>
    <w:rsid w:val="00205591"/>
    <w:rsid w:val="002152B0"/>
    <w:rsid w:val="002176BB"/>
    <w:rsid w:val="00230893"/>
    <w:rsid w:val="00246A3F"/>
    <w:rsid w:val="00257F78"/>
    <w:rsid w:val="00262C0E"/>
    <w:rsid w:val="00280D39"/>
    <w:rsid w:val="00287D81"/>
    <w:rsid w:val="002D5B74"/>
    <w:rsid w:val="002E7949"/>
    <w:rsid w:val="00300C70"/>
    <w:rsid w:val="00312603"/>
    <w:rsid w:val="003258EA"/>
    <w:rsid w:val="00357C6F"/>
    <w:rsid w:val="00365667"/>
    <w:rsid w:val="003670FF"/>
    <w:rsid w:val="00381A35"/>
    <w:rsid w:val="003947DB"/>
    <w:rsid w:val="00397A81"/>
    <w:rsid w:val="003C2281"/>
    <w:rsid w:val="003C3387"/>
    <w:rsid w:val="003E4736"/>
    <w:rsid w:val="003F24A6"/>
    <w:rsid w:val="00421932"/>
    <w:rsid w:val="00441F49"/>
    <w:rsid w:val="00455158"/>
    <w:rsid w:val="0047688B"/>
    <w:rsid w:val="0049143B"/>
    <w:rsid w:val="00492857"/>
    <w:rsid w:val="00492E19"/>
    <w:rsid w:val="004B6DCB"/>
    <w:rsid w:val="004B7490"/>
    <w:rsid w:val="004C1115"/>
    <w:rsid w:val="004C6DEE"/>
    <w:rsid w:val="004D75B4"/>
    <w:rsid w:val="004E7040"/>
    <w:rsid w:val="005073FB"/>
    <w:rsid w:val="00515AF0"/>
    <w:rsid w:val="00534CE6"/>
    <w:rsid w:val="005830B1"/>
    <w:rsid w:val="0059142A"/>
    <w:rsid w:val="005A136A"/>
    <w:rsid w:val="005B4FB3"/>
    <w:rsid w:val="005B6F5E"/>
    <w:rsid w:val="006059D2"/>
    <w:rsid w:val="00620289"/>
    <w:rsid w:val="00640A81"/>
    <w:rsid w:val="0068602E"/>
    <w:rsid w:val="00686BD5"/>
    <w:rsid w:val="00697D6F"/>
    <w:rsid w:val="006A5A58"/>
    <w:rsid w:val="006C23F1"/>
    <w:rsid w:val="006C30FF"/>
    <w:rsid w:val="006C67CD"/>
    <w:rsid w:val="006F02C7"/>
    <w:rsid w:val="007234F4"/>
    <w:rsid w:val="0075334D"/>
    <w:rsid w:val="00757DCE"/>
    <w:rsid w:val="00761C93"/>
    <w:rsid w:val="00763C21"/>
    <w:rsid w:val="007A106E"/>
    <w:rsid w:val="007B4E48"/>
    <w:rsid w:val="007B74F3"/>
    <w:rsid w:val="007B762B"/>
    <w:rsid w:val="007E1939"/>
    <w:rsid w:val="00806963"/>
    <w:rsid w:val="00834908"/>
    <w:rsid w:val="0089474E"/>
    <w:rsid w:val="008A65F8"/>
    <w:rsid w:val="008B5AFC"/>
    <w:rsid w:val="008C0305"/>
    <w:rsid w:val="008C1DCF"/>
    <w:rsid w:val="008F1173"/>
    <w:rsid w:val="008F46A2"/>
    <w:rsid w:val="008F59D5"/>
    <w:rsid w:val="009042A5"/>
    <w:rsid w:val="00915A3E"/>
    <w:rsid w:val="00920025"/>
    <w:rsid w:val="009261C3"/>
    <w:rsid w:val="009423C2"/>
    <w:rsid w:val="00955051"/>
    <w:rsid w:val="00955A89"/>
    <w:rsid w:val="009706FE"/>
    <w:rsid w:val="00971E5F"/>
    <w:rsid w:val="00982673"/>
    <w:rsid w:val="00996893"/>
    <w:rsid w:val="009D0BBF"/>
    <w:rsid w:val="009D2B8A"/>
    <w:rsid w:val="009E63F4"/>
    <w:rsid w:val="00A20171"/>
    <w:rsid w:val="00A2530B"/>
    <w:rsid w:val="00A35B82"/>
    <w:rsid w:val="00A37FE3"/>
    <w:rsid w:val="00A55BBD"/>
    <w:rsid w:val="00A73486"/>
    <w:rsid w:val="00A74E53"/>
    <w:rsid w:val="00A825EB"/>
    <w:rsid w:val="00A8619F"/>
    <w:rsid w:val="00AD0FBC"/>
    <w:rsid w:val="00AD4DC5"/>
    <w:rsid w:val="00B030AF"/>
    <w:rsid w:val="00B34C81"/>
    <w:rsid w:val="00B52B23"/>
    <w:rsid w:val="00B6115F"/>
    <w:rsid w:val="00B70CC2"/>
    <w:rsid w:val="00B91005"/>
    <w:rsid w:val="00BA39F5"/>
    <w:rsid w:val="00BB144A"/>
    <w:rsid w:val="00BC4154"/>
    <w:rsid w:val="00C8060C"/>
    <w:rsid w:val="00C85C50"/>
    <w:rsid w:val="00CC2771"/>
    <w:rsid w:val="00CD04E1"/>
    <w:rsid w:val="00D7180A"/>
    <w:rsid w:val="00D72E14"/>
    <w:rsid w:val="00D76ABB"/>
    <w:rsid w:val="00DC0436"/>
    <w:rsid w:val="00DD4C80"/>
    <w:rsid w:val="00E0672D"/>
    <w:rsid w:val="00E22C06"/>
    <w:rsid w:val="00E40E32"/>
    <w:rsid w:val="00E41407"/>
    <w:rsid w:val="00E55A9E"/>
    <w:rsid w:val="00E564BF"/>
    <w:rsid w:val="00E6544A"/>
    <w:rsid w:val="00E70C29"/>
    <w:rsid w:val="00E914FC"/>
    <w:rsid w:val="00E9216C"/>
    <w:rsid w:val="00EA20B7"/>
    <w:rsid w:val="00EA22E5"/>
    <w:rsid w:val="00EB5DE2"/>
    <w:rsid w:val="00ED1ECB"/>
    <w:rsid w:val="00ED2573"/>
    <w:rsid w:val="00EE132B"/>
    <w:rsid w:val="00EE5204"/>
    <w:rsid w:val="00F03C1B"/>
    <w:rsid w:val="00F34317"/>
    <w:rsid w:val="00F51F0C"/>
    <w:rsid w:val="00F529FA"/>
    <w:rsid w:val="00F6706F"/>
    <w:rsid w:val="00F71F95"/>
    <w:rsid w:val="00F726CB"/>
    <w:rsid w:val="00F87342"/>
    <w:rsid w:val="00FB5533"/>
    <w:rsid w:val="00FE3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FAE7"/>
  <w15:chartTrackingRefBased/>
  <w15:docId w15:val="{2A1908B6-04B3-481E-B15F-B713E396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D75B4"/>
    <w:rPr>
      <w:sz w:val="16"/>
      <w:szCs w:val="16"/>
    </w:rPr>
  </w:style>
  <w:style w:type="paragraph" w:styleId="AklamaMetni">
    <w:name w:val="annotation text"/>
    <w:basedOn w:val="Normal"/>
    <w:link w:val="AklamaMetniChar"/>
    <w:uiPriority w:val="99"/>
    <w:semiHidden/>
    <w:unhideWhenUsed/>
    <w:rsid w:val="004D75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75B4"/>
    <w:rPr>
      <w:sz w:val="20"/>
      <w:szCs w:val="20"/>
    </w:rPr>
  </w:style>
  <w:style w:type="paragraph" w:styleId="AklamaKonusu">
    <w:name w:val="annotation subject"/>
    <w:basedOn w:val="AklamaMetni"/>
    <w:next w:val="AklamaMetni"/>
    <w:link w:val="AklamaKonusuChar"/>
    <w:uiPriority w:val="99"/>
    <w:semiHidden/>
    <w:unhideWhenUsed/>
    <w:rsid w:val="004D75B4"/>
    <w:rPr>
      <w:b/>
      <w:bCs/>
    </w:rPr>
  </w:style>
  <w:style w:type="character" w:customStyle="1" w:styleId="AklamaKonusuChar">
    <w:name w:val="Açıklama Konusu Char"/>
    <w:basedOn w:val="AklamaMetniChar"/>
    <w:link w:val="AklamaKonusu"/>
    <w:uiPriority w:val="99"/>
    <w:semiHidden/>
    <w:rsid w:val="004D75B4"/>
    <w:rPr>
      <w:b/>
      <w:bCs/>
      <w:sz w:val="20"/>
      <w:szCs w:val="20"/>
    </w:rPr>
  </w:style>
  <w:style w:type="paragraph" w:styleId="BalonMetni">
    <w:name w:val="Balloon Text"/>
    <w:basedOn w:val="Normal"/>
    <w:link w:val="BalonMetniChar"/>
    <w:uiPriority w:val="99"/>
    <w:semiHidden/>
    <w:unhideWhenUsed/>
    <w:rsid w:val="004D75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5B4"/>
    <w:rPr>
      <w:rFonts w:ascii="Segoe UI" w:hAnsi="Segoe UI" w:cs="Segoe UI"/>
      <w:sz w:val="18"/>
      <w:szCs w:val="18"/>
    </w:rPr>
  </w:style>
  <w:style w:type="paragraph" w:styleId="Dzeltme">
    <w:name w:val="Revision"/>
    <w:hidden/>
    <w:uiPriority w:val="99"/>
    <w:semiHidden/>
    <w:rsid w:val="00365667"/>
    <w:pPr>
      <w:spacing w:after="0" w:line="240" w:lineRule="auto"/>
    </w:pPr>
  </w:style>
  <w:style w:type="character" w:styleId="Kpr">
    <w:name w:val="Hyperlink"/>
    <w:basedOn w:val="VarsaylanParagrafYazTipi"/>
    <w:uiPriority w:val="99"/>
    <w:unhideWhenUsed/>
    <w:rsid w:val="00697D6F"/>
    <w:rPr>
      <w:color w:val="0563C1" w:themeColor="hyperlink"/>
      <w:u w:val="single"/>
    </w:rPr>
  </w:style>
  <w:style w:type="paragraph" w:styleId="NormalWeb">
    <w:name w:val="Normal (Web)"/>
    <w:basedOn w:val="Normal"/>
    <w:uiPriority w:val="99"/>
    <w:semiHidden/>
    <w:unhideWhenUsed/>
    <w:rsid w:val="00697D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7D6F"/>
    <w:pPr>
      <w:spacing w:after="0" w:line="240" w:lineRule="auto"/>
      <w:ind w:left="720"/>
      <w:contextualSpacing/>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E7040"/>
    <w:rPr>
      <w:color w:val="605E5C"/>
      <w:shd w:val="clear" w:color="auto" w:fill="E1DFDD"/>
    </w:rPr>
  </w:style>
  <w:style w:type="table" w:styleId="TabloKlavuzu">
    <w:name w:val="Table Grid"/>
    <w:basedOn w:val="NormalTablo"/>
    <w:uiPriority w:val="39"/>
    <w:rsid w:val="0097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9225">
      <w:bodyDiv w:val="1"/>
      <w:marLeft w:val="0"/>
      <w:marRight w:val="0"/>
      <w:marTop w:val="0"/>
      <w:marBottom w:val="0"/>
      <w:divBdr>
        <w:top w:val="none" w:sz="0" w:space="0" w:color="auto"/>
        <w:left w:val="none" w:sz="0" w:space="0" w:color="auto"/>
        <w:bottom w:val="none" w:sz="0" w:space="0" w:color="auto"/>
        <w:right w:val="none" w:sz="0" w:space="0" w:color="auto"/>
      </w:divBdr>
    </w:div>
    <w:div w:id="287130405">
      <w:bodyDiv w:val="1"/>
      <w:marLeft w:val="0"/>
      <w:marRight w:val="0"/>
      <w:marTop w:val="0"/>
      <w:marBottom w:val="0"/>
      <w:divBdr>
        <w:top w:val="none" w:sz="0" w:space="0" w:color="auto"/>
        <w:left w:val="none" w:sz="0" w:space="0" w:color="auto"/>
        <w:bottom w:val="none" w:sz="0" w:space="0" w:color="auto"/>
        <w:right w:val="none" w:sz="0" w:space="0" w:color="auto"/>
      </w:divBdr>
    </w:div>
    <w:div w:id="422458125">
      <w:bodyDiv w:val="1"/>
      <w:marLeft w:val="0"/>
      <w:marRight w:val="0"/>
      <w:marTop w:val="0"/>
      <w:marBottom w:val="0"/>
      <w:divBdr>
        <w:top w:val="none" w:sz="0" w:space="0" w:color="auto"/>
        <w:left w:val="none" w:sz="0" w:space="0" w:color="auto"/>
        <w:bottom w:val="none" w:sz="0" w:space="0" w:color="auto"/>
        <w:right w:val="none" w:sz="0" w:space="0" w:color="auto"/>
      </w:divBdr>
    </w:div>
    <w:div w:id="491720699">
      <w:bodyDiv w:val="1"/>
      <w:marLeft w:val="0"/>
      <w:marRight w:val="0"/>
      <w:marTop w:val="0"/>
      <w:marBottom w:val="0"/>
      <w:divBdr>
        <w:top w:val="none" w:sz="0" w:space="0" w:color="auto"/>
        <w:left w:val="none" w:sz="0" w:space="0" w:color="auto"/>
        <w:bottom w:val="none" w:sz="0" w:space="0" w:color="auto"/>
        <w:right w:val="none" w:sz="0" w:space="0" w:color="auto"/>
      </w:divBdr>
    </w:div>
    <w:div w:id="608587558">
      <w:bodyDiv w:val="1"/>
      <w:marLeft w:val="0"/>
      <w:marRight w:val="0"/>
      <w:marTop w:val="0"/>
      <w:marBottom w:val="0"/>
      <w:divBdr>
        <w:top w:val="none" w:sz="0" w:space="0" w:color="auto"/>
        <w:left w:val="none" w:sz="0" w:space="0" w:color="auto"/>
        <w:bottom w:val="none" w:sz="0" w:space="0" w:color="auto"/>
        <w:right w:val="none" w:sz="0" w:space="0" w:color="auto"/>
      </w:divBdr>
    </w:div>
    <w:div w:id="789282808">
      <w:bodyDiv w:val="1"/>
      <w:marLeft w:val="0"/>
      <w:marRight w:val="0"/>
      <w:marTop w:val="0"/>
      <w:marBottom w:val="0"/>
      <w:divBdr>
        <w:top w:val="none" w:sz="0" w:space="0" w:color="auto"/>
        <w:left w:val="none" w:sz="0" w:space="0" w:color="auto"/>
        <w:bottom w:val="none" w:sz="0" w:space="0" w:color="auto"/>
        <w:right w:val="none" w:sz="0" w:space="0" w:color="auto"/>
      </w:divBdr>
    </w:div>
    <w:div w:id="1260602580">
      <w:bodyDiv w:val="1"/>
      <w:marLeft w:val="0"/>
      <w:marRight w:val="0"/>
      <w:marTop w:val="0"/>
      <w:marBottom w:val="0"/>
      <w:divBdr>
        <w:top w:val="none" w:sz="0" w:space="0" w:color="auto"/>
        <w:left w:val="none" w:sz="0" w:space="0" w:color="auto"/>
        <w:bottom w:val="none" w:sz="0" w:space="0" w:color="auto"/>
        <w:right w:val="none" w:sz="0" w:space="0" w:color="auto"/>
      </w:divBdr>
    </w:div>
    <w:div w:id="1420253029">
      <w:bodyDiv w:val="1"/>
      <w:marLeft w:val="0"/>
      <w:marRight w:val="0"/>
      <w:marTop w:val="0"/>
      <w:marBottom w:val="0"/>
      <w:divBdr>
        <w:top w:val="none" w:sz="0" w:space="0" w:color="auto"/>
        <w:left w:val="none" w:sz="0" w:space="0" w:color="auto"/>
        <w:bottom w:val="none" w:sz="0" w:space="0" w:color="auto"/>
        <w:right w:val="none" w:sz="0" w:space="0" w:color="auto"/>
      </w:divBdr>
    </w:div>
    <w:div w:id="1641961003">
      <w:bodyDiv w:val="1"/>
      <w:marLeft w:val="0"/>
      <w:marRight w:val="0"/>
      <w:marTop w:val="0"/>
      <w:marBottom w:val="0"/>
      <w:divBdr>
        <w:top w:val="none" w:sz="0" w:space="0" w:color="auto"/>
        <w:left w:val="none" w:sz="0" w:space="0" w:color="auto"/>
        <w:bottom w:val="none" w:sz="0" w:space="0" w:color="auto"/>
        <w:right w:val="none" w:sz="0" w:space="0" w:color="auto"/>
      </w:divBdr>
    </w:div>
    <w:div w:id="20404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Nigah TUNCA</dc:creator>
  <cp:keywords/>
  <dc:description/>
  <cp:lastModifiedBy>Mehmet AKAR</cp:lastModifiedBy>
  <cp:revision>2</cp:revision>
  <dcterms:created xsi:type="dcterms:W3CDTF">2022-10-10T05:29:00Z</dcterms:created>
  <dcterms:modified xsi:type="dcterms:W3CDTF">2022-10-10T05:29:00Z</dcterms:modified>
</cp:coreProperties>
</file>